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EE" w:rsidRPr="00506970" w:rsidRDefault="005E28EE" w:rsidP="005E28EE">
      <w:pPr>
        <w:spacing w:before="120"/>
        <w:jc w:val="center"/>
        <w:rPr>
          <w:rFonts w:ascii="Arial" w:hAnsi="Arial" w:cs="Arial"/>
          <w:b/>
          <w:lang w:val="en-US"/>
        </w:rPr>
      </w:pPr>
      <w:r w:rsidRPr="00506970">
        <w:rPr>
          <w:rFonts w:ascii="Arial" w:hAnsi="Arial" w:cs="Arial"/>
          <w:b/>
        </w:rPr>
        <w:t xml:space="preserve">PHỤ LỤC 03: </w:t>
      </w:r>
    </w:p>
    <w:p w:rsidR="005E28EE" w:rsidRPr="00506970" w:rsidRDefault="005E28EE" w:rsidP="005E28EE">
      <w:pPr>
        <w:spacing w:before="120"/>
        <w:jc w:val="center"/>
        <w:rPr>
          <w:rFonts w:ascii="Arial" w:hAnsi="Arial" w:cs="Arial"/>
          <w:i/>
          <w:sz w:val="20"/>
        </w:rPr>
      </w:pPr>
      <w:r w:rsidRPr="00506970">
        <w:rPr>
          <w:rFonts w:ascii="Arial" w:hAnsi="Arial" w:cs="Arial"/>
          <w:sz w:val="20"/>
        </w:rPr>
        <w:t>CÁC LOẠI GIẤY TỜ LÀM CĂN CỨ ĐỂ CẤP LẠI, GHI, ĐIỀU CHỈNH THẺ BHYT</w:t>
      </w:r>
      <w:r w:rsidRPr="00506970">
        <w:rPr>
          <w:rFonts w:ascii="Arial" w:hAnsi="Arial" w:cs="Arial"/>
          <w:sz w:val="20"/>
        </w:rPr>
        <w:br/>
      </w:r>
      <w:r w:rsidRPr="00506970">
        <w:rPr>
          <w:rFonts w:ascii="Arial" w:hAnsi="Arial" w:cs="Arial"/>
          <w:i/>
          <w:sz w:val="20"/>
        </w:rPr>
        <w:t>(Ban hành kèm theo Quyết định số 595/QĐ-BHXH n</w:t>
      </w:r>
      <w:r w:rsidRPr="00506970">
        <w:rPr>
          <w:rFonts w:ascii="Arial" w:hAnsi="Arial" w:cs="Arial"/>
          <w:i/>
          <w:sz w:val="20"/>
          <w:lang w:val="en-US"/>
        </w:rPr>
        <w:t>g</w:t>
      </w:r>
      <w:r w:rsidRPr="00506970">
        <w:rPr>
          <w:rFonts w:ascii="Arial" w:hAnsi="Arial" w:cs="Arial"/>
          <w:i/>
          <w:sz w:val="20"/>
        </w:rPr>
        <w:t>ày 14/4/2017 và được sửa đổi, bổ sun</w:t>
      </w:r>
      <w:r w:rsidRPr="00506970">
        <w:rPr>
          <w:rFonts w:ascii="Arial" w:hAnsi="Arial" w:cs="Arial"/>
          <w:i/>
          <w:sz w:val="20"/>
          <w:lang w:val="en-US"/>
        </w:rPr>
        <w:t>g</w:t>
      </w:r>
      <w:r w:rsidRPr="00506970">
        <w:rPr>
          <w:rFonts w:ascii="Arial" w:hAnsi="Arial" w:cs="Arial"/>
          <w:i/>
          <w:sz w:val="20"/>
        </w:rPr>
        <w:t xml:space="preserve"> Quyết định số 888/QĐ-BHXH n</w:t>
      </w:r>
      <w:r w:rsidRPr="00506970">
        <w:rPr>
          <w:rFonts w:ascii="Arial" w:hAnsi="Arial" w:cs="Arial"/>
          <w:i/>
          <w:sz w:val="20"/>
          <w:lang w:val="en-US"/>
        </w:rPr>
        <w:t>g</w:t>
      </w:r>
      <w:r w:rsidRPr="00506970">
        <w:rPr>
          <w:rFonts w:ascii="Arial" w:hAnsi="Arial" w:cs="Arial"/>
          <w:i/>
          <w:sz w:val="20"/>
        </w:rPr>
        <w:t>ày</w:t>
      </w:r>
      <w:r w:rsidRPr="00506970">
        <w:rPr>
          <w:rFonts w:ascii="Arial" w:hAnsi="Arial" w:cs="Arial"/>
          <w:i/>
          <w:sz w:val="20"/>
          <w:lang w:val="en-US"/>
        </w:rPr>
        <w:t xml:space="preserve"> </w:t>
      </w:r>
      <w:r w:rsidRPr="00506970">
        <w:rPr>
          <w:rFonts w:ascii="Arial" w:hAnsi="Arial" w:cs="Arial"/>
          <w:i/>
          <w:sz w:val="20"/>
        </w:rPr>
        <w:t>16/7/2018 của BHXH Việt Nam)</w:t>
      </w:r>
    </w:p>
    <w:p w:rsidR="005E28EE" w:rsidRPr="00506970" w:rsidRDefault="005E28EE" w:rsidP="005E28EE">
      <w:pPr>
        <w:spacing w:before="120"/>
        <w:rPr>
          <w:rFonts w:ascii="Arial" w:hAnsi="Arial" w:cs="Arial"/>
          <w:b/>
          <w:i/>
          <w:sz w:val="20"/>
        </w:rPr>
      </w:pPr>
      <w:r w:rsidRPr="00506970">
        <w:rPr>
          <w:rFonts w:ascii="Arial" w:hAnsi="Arial" w:cs="Arial"/>
          <w:b/>
          <w:i/>
          <w:sz w:val="20"/>
        </w:rPr>
        <w:t>I. Điều chỉnh quyền lợi BHYT cao hơn ghi trên thẻ BHYT, hồ sơ gồm một trong các loại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92"/>
        <w:gridCol w:w="2930"/>
        <w:gridCol w:w="4966"/>
        <w:gridCol w:w="978"/>
      </w:tblGrid>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STT</w:t>
            </w:r>
          </w:p>
        </w:tc>
        <w:tc>
          <w:tcPr>
            <w:tcW w:w="1564"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Đối tượng</w:t>
            </w:r>
          </w:p>
        </w:tc>
        <w:tc>
          <w:tcPr>
            <w:tcW w:w="2651"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Tên loại văn bản, hồ sơ</w:t>
            </w:r>
          </w:p>
        </w:tc>
        <w:tc>
          <w:tcPr>
            <w:tcW w:w="522"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Ghi chú</w:t>
            </w:r>
          </w:p>
        </w:tc>
      </w:tr>
      <w:tr w:rsidR="005E28EE" w:rsidRPr="00506970" w:rsidTr="008A317B">
        <w:tblPrEx>
          <w:tblCellMar>
            <w:top w:w="0" w:type="dxa"/>
            <w:left w:w="0" w:type="dxa"/>
            <w:bottom w:w="0" w:type="dxa"/>
            <w:right w:w="0" w:type="dxa"/>
          </w:tblCellMar>
        </w:tblPrEx>
        <w:tc>
          <w:tcPr>
            <w:tcW w:w="5000" w:type="pct"/>
            <w:gridSpan w:val="4"/>
            <w:shd w:val="clear" w:color="auto" w:fill="FFFFFF"/>
          </w:tcPr>
          <w:p w:rsidR="005E28EE" w:rsidRPr="00506970" w:rsidRDefault="005E28EE" w:rsidP="008A317B">
            <w:pPr>
              <w:spacing w:before="120"/>
              <w:rPr>
                <w:rFonts w:ascii="Arial" w:hAnsi="Arial" w:cs="Arial"/>
                <w:b/>
                <w:sz w:val="20"/>
              </w:rPr>
            </w:pPr>
            <w:r w:rsidRPr="00506970">
              <w:rPr>
                <w:rFonts w:ascii="Arial" w:hAnsi="Arial" w:cs="Arial"/>
                <w:b/>
                <w:sz w:val="20"/>
              </w:rPr>
              <w:t>1. Người có công với cách m</w:t>
            </w:r>
            <w:r w:rsidRPr="00506970">
              <w:rPr>
                <w:rFonts w:ascii="Arial" w:hAnsi="Arial" w:cs="Arial"/>
                <w:b/>
                <w:sz w:val="20"/>
                <w:lang w:val="en-US"/>
              </w:rPr>
              <w:t>ạ</w:t>
            </w:r>
            <w:r w:rsidRPr="00506970">
              <w:rPr>
                <w:rFonts w:ascii="Arial" w:hAnsi="Arial" w:cs="Arial"/>
                <w:b/>
                <w:sz w:val="20"/>
              </w:rPr>
              <w:t>ng quy đ</w:t>
            </w:r>
            <w:r w:rsidRPr="00506970">
              <w:rPr>
                <w:rFonts w:ascii="Arial" w:hAnsi="Arial" w:cs="Arial"/>
                <w:b/>
                <w:sz w:val="20"/>
                <w:lang w:val="en-US"/>
              </w:rPr>
              <w:t>ị</w:t>
            </w:r>
            <w:r w:rsidRPr="00506970">
              <w:rPr>
                <w:rFonts w:ascii="Arial" w:hAnsi="Arial" w:cs="Arial"/>
                <w:b/>
                <w:sz w:val="20"/>
              </w:rPr>
              <w:t>nh t</w:t>
            </w:r>
            <w:r w:rsidRPr="00506970">
              <w:rPr>
                <w:rFonts w:ascii="Arial" w:hAnsi="Arial" w:cs="Arial"/>
                <w:b/>
                <w:sz w:val="20"/>
                <w:lang w:val="en-US"/>
              </w:rPr>
              <w:t>ạ</w:t>
            </w:r>
            <w:r w:rsidRPr="00506970">
              <w:rPr>
                <w:rFonts w:ascii="Arial" w:hAnsi="Arial" w:cs="Arial"/>
                <w:b/>
                <w:sz w:val="20"/>
              </w:rPr>
              <w:t>i Pháp l</w:t>
            </w:r>
            <w:r w:rsidRPr="00506970">
              <w:rPr>
                <w:rFonts w:ascii="Arial" w:hAnsi="Arial" w:cs="Arial"/>
                <w:b/>
                <w:sz w:val="20"/>
                <w:lang w:val="en-US"/>
              </w:rPr>
              <w:t>ệ</w:t>
            </w:r>
            <w:r w:rsidRPr="00506970">
              <w:rPr>
                <w:rFonts w:ascii="Arial" w:hAnsi="Arial" w:cs="Arial"/>
                <w:b/>
                <w:sz w:val="20"/>
              </w:rPr>
              <w:t>nh Ưu đãi người có công với cách m</w:t>
            </w:r>
            <w:r w:rsidRPr="00506970">
              <w:rPr>
                <w:rFonts w:ascii="Arial" w:hAnsi="Arial" w:cs="Arial"/>
                <w:b/>
                <w:sz w:val="20"/>
                <w:lang w:val="en-US"/>
              </w:rPr>
              <w:t>ạ</w:t>
            </w:r>
            <w:r w:rsidRPr="00506970">
              <w:rPr>
                <w:rFonts w:ascii="Arial" w:hAnsi="Arial" w:cs="Arial"/>
                <w:b/>
                <w:sz w:val="20"/>
              </w:rPr>
              <w:t>ng</w:t>
            </w: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sz w:val="20"/>
              </w:rPr>
            </w:pPr>
            <w:r w:rsidRPr="00506970">
              <w:rPr>
                <w:rFonts w:ascii="Arial" w:hAnsi="Arial" w:cs="Arial"/>
                <w:sz w:val="20"/>
              </w:rPr>
              <w:t>1.1</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w:t>
            </w:r>
            <w:r w:rsidRPr="00506970">
              <w:rPr>
                <w:rFonts w:ascii="Arial" w:hAnsi="Arial" w:cs="Arial"/>
                <w:sz w:val="20"/>
                <w:lang w:val="en-US"/>
              </w:rPr>
              <w:t>ơn</w:t>
            </w:r>
            <w:r w:rsidRPr="00506970">
              <w:rPr>
                <w:rFonts w:ascii="Arial" w:hAnsi="Arial" w:cs="Arial"/>
                <w:sz w:val="20"/>
              </w:rPr>
              <w:t>g binh loại B, bệnh binh suy giảm khả năng lao động từ 81% trở lên.</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a) Thẻ thương binh, thẻ bệnh binh;</w:t>
            </w:r>
          </w:p>
          <w:p w:rsidR="005E28EE" w:rsidRPr="00506970" w:rsidRDefault="005E28EE" w:rsidP="008A317B">
            <w:pPr>
              <w:spacing w:before="120"/>
              <w:rPr>
                <w:rFonts w:ascii="Arial" w:hAnsi="Arial" w:cs="Arial"/>
                <w:sz w:val="20"/>
              </w:rPr>
            </w:pPr>
            <w:r w:rsidRPr="00506970">
              <w:rPr>
                <w:rFonts w:ascii="Arial" w:hAnsi="Arial" w:cs="Arial"/>
                <w:sz w:val="20"/>
              </w:rPr>
              <w:t>b) Giấy chứng nhận người hưởng chính sách như thương binh;</w:t>
            </w:r>
          </w:p>
          <w:p w:rsidR="005E28EE" w:rsidRPr="00506970" w:rsidRDefault="005E28EE" w:rsidP="008A317B">
            <w:pPr>
              <w:spacing w:before="120"/>
              <w:rPr>
                <w:rFonts w:ascii="Arial" w:hAnsi="Arial" w:cs="Arial"/>
                <w:sz w:val="20"/>
              </w:rPr>
            </w:pPr>
            <w:r w:rsidRPr="00506970">
              <w:rPr>
                <w:rFonts w:ascii="Arial" w:hAnsi="Arial" w:cs="Arial"/>
                <w:sz w:val="20"/>
              </w:rPr>
              <w:t>c) Quyết định công nhận là người hoạt động cách mạng trước ngày 01/01/1945, người hoạt động cách mạng từ ngày 01/01/1945 đến ngày khởi nghĩa tháng 8/1945 của Ban Thường vụ tỉnh ủy, Thành ủy trực thuộc Trung ương;</w:t>
            </w:r>
          </w:p>
          <w:p w:rsidR="005E28EE" w:rsidRPr="00506970" w:rsidRDefault="005E28EE" w:rsidP="008A317B">
            <w:pPr>
              <w:spacing w:before="120"/>
              <w:rPr>
                <w:rFonts w:ascii="Arial" w:hAnsi="Arial" w:cs="Arial"/>
                <w:sz w:val="20"/>
                <w:lang w:val="en-US"/>
              </w:rPr>
            </w:pPr>
            <w:r w:rsidRPr="00506970">
              <w:rPr>
                <w:rFonts w:ascii="Arial" w:hAnsi="Arial" w:cs="Arial"/>
                <w:sz w:val="20"/>
              </w:rPr>
              <w:t xml:space="preserve">d) Quyết định hưởng trợ cấp của Sở Lao động - Thương binh và Xã hội. </w:t>
            </w:r>
          </w:p>
          <w:p w:rsidR="005E28EE" w:rsidRPr="00506970" w:rsidRDefault="005E28EE" w:rsidP="008A317B">
            <w:pPr>
              <w:spacing w:before="120"/>
              <w:rPr>
                <w:rFonts w:ascii="Arial" w:hAnsi="Arial" w:cs="Arial"/>
                <w:sz w:val="20"/>
              </w:rPr>
            </w:pPr>
            <w:r w:rsidRPr="00506970">
              <w:rPr>
                <w:rFonts w:ascii="Arial" w:hAnsi="Arial" w:cs="Arial"/>
                <w:sz w:val="20"/>
              </w:rPr>
              <w:t>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sz w:val="20"/>
              </w:rPr>
            </w:pPr>
            <w:r w:rsidRPr="00506970">
              <w:rPr>
                <w:rFonts w:ascii="Arial" w:hAnsi="Arial" w:cs="Arial"/>
                <w:sz w:val="20"/>
              </w:rPr>
              <w:t>1.2</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Người có công với cách mạng theo quy định tại Pháp lệnh Ưu đãi người có công với cách mạng, trừ các đối tượng tại điểm 1 nêu trên</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a) Huân chương Kháng chiến;</w:t>
            </w:r>
          </w:p>
          <w:p w:rsidR="005E28EE" w:rsidRPr="00506970" w:rsidRDefault="005E28EE" w:rsidP="008A317B">
            <w:pPr>
              <w:spacing w:before="120"/>
              <w:rPr>
                <w:rFonts w:ascii="Arial" w:hAnsi="Arial" w:cs="Arial"/>
                <w:sz w:val="20"/>
              </w:rPr>
            </w:pPr>
            <w:r w:rsidRPr="00506970">
              <w:rPr>
                <w:rFonts w:ascii="Arial" w:hAnsi="Arial" w:cs="Arial"/>
                <w:sz w:val="20"/>
              </w:rPr>
              <w:t>b) Huy chương Kháng chiến;</w:t>
            </w:r>
          </w:p>
          <w:p w:rsidR="005E28EE" w:rsidRPr="00506970" w:rsidRDefault="005E28EE" w:rsidP="008A317B">
            <w:pPr>
              <w:spacing w:before="120"/>
              <w:rPr>
                <w:rFonts w:ascii="Arial" w:hAnsi="Arial" w:cs="Arial"/>
                <w:sz w:val="20"/>
              </w:rPr>
            </w:pPr>
            <w:r w:rsidRPr="00506970">
              <w:rPr>
                <w:rFonts w:ascii="Arial" w:hAnsi="Arial" w:cs="Arial"/>
                <w:sz w:val="20"/>
              </w:rPr>
              <w:t>c) Huân chương Chiến thắng;</w:t>
            </w:r>
          </w:p>
          <w:p w:rsidR="005E28EE" w:rsidRPr="00506970" w:rsidRDefault="005E28EE" w:rsidP="008A317B">
            <w:pPr>
              <w:spacing w:before="120"/>
              <w:rPr>
                <w:rFonts w:ascii="Arial" w:hAnsi="Arial" w:cs="Arial"/>
                <w:sz w:val="20"/>
              </w:rPr>
            </w:pPr>
            <w:r w:rsidRPr="00506970">
              <w:rPr>
                <w:rFonts w:ascii="Arial" w:hAnsi="Arial" w:cs="Arial"/>
                <w:sz w:val="20"/>
              </w:rPr>
              <w:t>d) Huy chương Chiến thắng;</w:t>
            </w:r>
          </w:p>
          <w:p w:rsidR="005E28EE" w:rsidRPr="00506970" w:rsidRDefault="005E28EE" w:rsidP="008A317B">
            <w:pPr>
              <w:spacing w:before="120"/>
              <w:rPr>
                <w:rFonts w:ascii="Arial" w:hAnsi="Arial" w:cs="Arial"/>
                <w:sz w:val="20"/>
              </w:rPr>
            </w:pPr>
            <w:r w:rsidRPr="00506970">
              <w:rPr>
                <w:rFonts w:ascii="Arial" w:hAnsi="Arial" w:cs="Arial"/>
                <w:sz w:val="20"/>
              </w:rPr>
              <w:t>đ) Thẻ thương binh, thẻ bệnh binh;</w:t>
            </w:r>
          </w:p>
          <w:p w:rsidR="005E28EE" w:rsidRPr="00506970" w:rsidRDefault="005E28EE" w:rsidP="008A317B">
            <w:pPr>
              <w:spacing w:before="120"/>
              <w:rPr>
                <w:rFonts w:ascii="Arial" w:hAnsi="Arial" w:cs="Arial"/>
                <w:sz w:val="20"/>
              </w:rPr>
            </w:pPr>
            <w:r w:rsidRPr="00506970">
              <w:rPr>
                <w:rFonts w:ascii="Arial" w:hAnsi="Arial" w:cs="Arial"/>
                <w:sz w:val="20"/>
              </w:rPr>
              <w:t>e) Giấy chứng nhận người hưởng chính sách như thương binh;</w:t>
            </w:r>
          </w:p>
          <w:p w:rsidR="005E28EE" w:rsidRPr="00506970" w:rsidRDefault="005E28EE" w:rsidP="008A317B">
            <w:pPr>
              <w:spacing w:before="120"/>
              <w:rPr>
                <w:rFonts w:ascii="Arial" w:hAnsi="Arial" w:cs="Arial"/>
                <w:sz w:val="20"/>
                <w:lang w:val="en-US"/>
              </w:rPr>
            </w:pPr>
            <w:r w:rsidRPr="00506970">
              <w:rPr>
                <w:rFonts w:ascii="Arial" w:hAnsi="Arial" w:cs="Arial"/>
                <w:sz w:val="20"/>
              </w:rPr>
              <w:t>g) Giấy chứng nhận về khen thưởng tổng kết thành tích kháng chiến và thời gian hoạt động KC của cơ quan Thi đua Khen thưởng cấp huyện;</w:t>
            </w:r>
          </w:p>
          <w:p w:rsidR="005E28EE" w:rsidRPr="00506970" w:rsidRDefault="005E28EE" w:rsidP="008A317B">
            <w:pPr>
              <w:spacing w:before="120"/>
              <w:rPr>
                <w:rFonts w:ascii="Arial" w:hAnsi="Arial" w:cs="Arial"/>
                <w:sz w:val="20"/>
              </w:rPr>
            </w:pPr>
            <w:r w:rsidRPr="00506970">
              <w:rPr>
                <w:rFonts w:ascii="Arial" w:hAnsi="Arial" w:cs="Arial"/>
                <w:sz w:val="20"/>
              </w:rPr>
              <w:t>h) Quyết định hưởng trợ cấp của Sở Lao động - Thương binh và Xã hội.</w:t>
            </w:r>
          </w:p>
          <w:p w:rsidR="005E28EE" w:rsidRPr="00506970" w:rsidRDefault="005E28EE" w:rsidP="008A317B">
            <w:pPr>
              <w:spacing w:before="120"/>
              <w:rPr>
                <w:rFonts w:ascii="Arial" w:hAnsi="Arial" w:cs="Arial"/>
                <w:sz w:val="20"/>
                <w:lang w:val="en-US"/>
              </w:rPr>
            </w:pPr>
            <w:r w:rsidRPr="00506970">
              <w:rPr>
                <w:rFonts w:ascii="Arial" w:hAnsi="Arial" w:cs="Arial"/>
                <w:sz w:val="20"/>
              </w:rPr>
              <w:t>i) Giấy xác nhận của Sở Lao động Thương binh và Xã hội nơi đang hưởng trợ cấp hàng tháng hoặc đã giải quyết trợ cấp một lần (theo hướng dẫn về cơ sở xác định là người có công với cách mạng tại Công văn số 467/NCC ngày 17/6/2010 của Bộ Lao động - Thương binh và Xã hội);</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5000" w:type="pct"/>
            <w:gridSpan w:val="4"/>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2. Cựu chiến binh theo quy định tại Nghị định số 150/2006/NĐ-CP, Nghị định số 157/2016/NĐ-CP và Thông tư 25/2016/TT-BLĐTBXH (không được ngân sách nhà nước đóng BHYT theo đối tượng cựu chiến binh)</w:t>
            </w: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sz w:val="20"/>
              </w:rPr>
            </w:pPr>
            <w:r w:rsidRPr="00506970">
              <w:rPr>
                <w:rFonts w:ascii="Arial" w:hAnsi="Arial" w:cs="Arial"/>
                <w:sz w:val="20"/>
              </w:rPr>
              <w:lastRenderedPageBreak/>
              <w:t>2.1.</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Cựu chiến binh giai đoạn trước 30/4/1975</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a) Quyết định phục viên hoặc xuất ngũ hoặc chuyển ngành.</w:t>
            </w:r>
          </w:p>
          <w:p w:rsidR="005E28EE" w:rsidRPr="00506970" w:rsidRDefault="005E28EE" w:rsidP="008A317B">
            <w:pPr>
              <w:spacing w:before="120"/>
              <w:rPr>
                <w:rFonts w:ascii="Arial" w:hAnsi="Arial" w:cs="Arial"/>
                <w:sz w:val="20"/>
              </w:rPr>
            </w:pPr>
            <w:r w:rsidRPr="00506970">
              <w:rPr>
                <w:rFonts w:ascii="Arial" w:hAnsi="Arial" w:cs="Arial"/>
                <w:sz w:val="20"/>
              </w:rPr>
              <w:t>b) Quyết định được hưởng trợ cấp theo Quyết định số 290/2005/QĐ-TTg;</w:t>
            </w:r>
          </w:p>
          <w:p w:rsidR="005E28EE" w:rsidRPr="00506970" w:rsidRDefault="005E28EE" w:rsidP="008A317B">
            <w:pPr>
              <w:spacing w:before="120"/>
              <w:rPr>
                <w:rFonts w:ascii="Arial" w:hAnsi="Arial" w:cs="Arial"/>
                <w:sz w:val="20"/>
              </w:rPr>
            </w:pPr>
            <w:r w:rsidRPr="00506970">
              <w:rPr>
                <w:rFonts w:ascii="Arial" w:hAnsi="Arial" w:cs="Arial"/>
                <w:sz w:val="20"/>
              </w:rPr>
              <w:t>c) Quyết định được hưởng trợ cấp theo QĐ 188/2007/QĐ-TTg;</w:t>
            </w:r>
          </w:p>
          <w:p w:rsidR="005E28EE" w:rsidRPr="00506970" w:rsidRDefault="005E28EE" w:rsidP="008A317B">
            <w:pPr>
              <w:spacing w:before="120"/>
              <w:rPr>
                <w:rFonts w:ascii="Arial" w:hAnsi="Arial" w:cs="Arial"/>
                <w:sz w:val="20"/>
              </w:rPr>
            </w:pPr>
            <w:r w:rsidRPr="00506970">
              <w:rPr>
                <w:rFonts w:ascii="Arial" w:hAnsi="Arial" w:cs="Arial"/>
                <w:sz w:val="20"/>
              </w:rPr>
              <w:t>d) Quyết định hưởng trợ cấp theo Quyết định số 53/2010/QĐ-TTg ngày 20/8/2010 của Thủ tướng Chính phủ.</w:t>
            </w:r>
          </w:p>
          <w:p w:rsidR="005E28EE" w:rsidRPr="00506970" w:rsidRDefault="005E28EE" w:rsidP="008A317B">
            <w:pPr>
              <w:spacing w:before="120"/>
              <w:rPr>
                <w:rFonts w:ascii="Arial" w:hAnsi="Arial" w:cs="Arial"/>
                <w:sz w:val="20"/>
                <w:lang w:val="en-US"/>
              </w:rPr>
            </w:pPr>
            <w:r w:rsidRPr="00506970">
              <w:rPr>
                <w:rFonts w:ascii="Arial" w:hAnsi="Arial" w:cs="Arial"/>
                <w:sz w:val="20"/>
              </w:rPr>
              <w:t xml:space="preserve">đ) Quyết định được hưởng trợ cấp theo Quyết định số 142/2008/QĐ-TTg; </w:t>
            </w:r>
          </w:p>
          <w:p w:rsidR="005E28EE" w:rsidRPr="00506970" w:rsidRDefault="005E28EE" w:rsidP="008A317B">
            <w:pPr>
              <w:spacing w:before="120"/>
              <w:rPr>
                <w:rFonts w:ascii="Arial" w:hAnsi="Arial" w:cs="Arial"/>
                <w:sz w:val="20"/>
              </w:rPr>
            </w:pPr>
            <w:r w:rsidRPr="00506970">
              <w:rPr>
                <w:rFonts w:ascii="Arial" w:hAnsi="Arial" w:cs="Arial"/>
                <w:sz w:val="20"/>
              </w:rPr>
              <w:t>đ) Quyết định được hưởng trợ cấp theo QĐ số 38/2010/QĐ-TTg.</w:t>
            </w:r>
          </w:p>
          <w:p w:rsidR="005E28EE" w:rsidRPr="00506970" w:rsidRDefault="005E28EE" w:rsidP="008A317B">
            <w:pPr>
              <w:spacing w:before="120"/>
              <w:rPr>
                <w:rFonts w:ascii="Arial" w:hAnsi="Arial" w:cs="Arial"/>
                <w:sz w:val="20"/>
              </w:rPr>
            </w:pPr>
            <w:r w:rsidRPr="00506970">
              <w:rPr>
                <w:rFonts w:ascii="Arial" w:hAnsi="Arial" w:cs="Arial"/>
                <w:sz w:val="20"/>
              </w:rPr>
              <w:t>e) Quyết định được hưởng trợ cấp thanh niên xung phong theo QĐ số 40/2011/QĐ-TTg ngày 27/7/2011 của Thủ tướng Chính phủ.</w:t>
            </w:r>
          </w:p>
          <w:p w:rsidR="005E28EE" w:rsidRPr="00506970" w:rsidRDefault="005E28EE" w:rsidP="008A317B">
            <w:pPr>
              <w:spacing w:before="120"/>
              <w:rPr>
                <w:rFonts w:ascii="Arial" w:hAnsi="Arial" w:cs="Arial"/>
                <w:i/>
                <w:sz w:val="20"/>
              </w:rPr>
            </w:pPr>
            <w:r w:rsidRPr="00506970">
              <w:rPr>
                <w:rFonts w:ascii="Arial" w:hAnsi="Arial" w:cs="Arial"/>
                <w:i/>
                <w:sz w:val="20"/>
              </w:rPr>
              <w:t>g) Giấy chứng nhận là thanh niên xung phong hoàn thành nhiệm vụ trong kháng chiến ch</w:t>
            </w:r>
            <w:r w:rsidRPr="00506970">
              <w:rPr>
                <w:rFonts w:ascii="Arial" w:hAnsi="Arial" w:cs="Arial"/>
                <w:i/>
                <w:sz w:val="20"/>
                <w:lang w:val="en-US"/>
              </w:rPr>
              <w:t>ố</w:t>
            </w:r>
            <w:r w:rsidRPr="00506970">
              <w:rPr>
                <w:rFonts w:ascii="Arial" w:hAnsi="Arial" w:cs="Arial"/>
                <w:i/>
                <w:sz w:val="20"/>
              </w:rPr>
              <w:t>ng Pháp do Tỉnh, Thành đoàn nơi đối tượng thường trú cấp theo quy định tại Điểm a Khoản 1 Điều 3 Thông tư s</w:t>
            </w:r>
            <w:r w:rsidRPr="00506970">
              <w:rPr>
                <w:rFonts w:ascii="Arial" w:hAnsi="Arial" w:cs="Arial"/>
                <w:i/>
                <w:sz w:val="20"/>
                <w:lang w:val="en-US"/>
              </w:rPr>
              <w:t>ố</w:t>
            </w:r>
            <w:r w:rsidRPr="00506970">
              <w:rPr>
                <w:rFonts w:ascii="Arial" w:hAnsi="Arial" w:cs="Arial"/>
                <w:i/>
                <w:sz w:val="20"/>
              </w:rPr>
              <w:t xml:space="preserve"> 24/2009/TT-BLĐTBXH ngày 10/7/2009 của Bộ Lao động Thương b</w:t>
            </w:r>
            <w:r w:rsidRPr="00506970">
              <w:rPr>
                <w:rFonts w:ascii="Arial" w:hAnsi="Arial" w:cs="Arial"/>
                <w:i/>
                <w:sz w:val="20"/>
                <w:lang w:val="en-US"/>
              </w:rPr>
              <w:t>i</w:t>
            </w:r>
            <w:r w:rsidRPr="00506970">
              <w:rPr>
                <w:rFonts w:ascii="Arial" w:hAnsi="Arial" w:cs="Arial"/>
                <w:i/>
                <w:sz w:val="20"/>
              </w:rPr>
              <w:t>nh và Xã hội;</w:t>
            </w:r>
          </w:p>
          <w:p w:rsidR="005E28EE" w:rsidRPr="00506970" w:rsidRDefault="005E28EE" w:rsidP="008A317B">
            <w:pPr>
              <w:spacing w:before="120"/>
              <w:rPr>
                <w:rFonts w:ascii="Arial" w:hAnsi="Arial" w:cs="Arial"/>
                <w:sz w:val="20"/>
              </w:rPr>
            </w:pPr>
            <w:r w:rsidRPr="00506970">
              <w:rPr>
                <w:rFonts w:ascii="Arial" w:hAnsi="Arial" w:cs="Arial"/>
                <w:sz w:val="20"/>
              </w:rPr>
              <w:t>h) Lý lịch cán bộ Đảng viên có ghi là thanh niên xung phong theo quy định tại Thông tư số 24/2009/TT-BLĐTBXH ngày 10/7/2009 của Bộ Lao động - Thương binh &amp; Xã hội.</w:t>
            </w:r>
          </w:p>
          <w:p w:rsidR="005E28EE" w:rsidRPr="00506970" w:rsidRDefault="005E28EE" w:rsidP="008A317B">
            <w:pPr>
              <w:spacing w:before="120"/>
              <w:rPr>
                <w:rFonts w:ascii="Arial" w:hAnsi="Arial" w:cs="Arial"/>
                <w:sz w:val="20"/>
              </w:rPr>
            </w:pPr>
            <w:r w:rsidRPr="00506970">
              <w:rPr>
                <w:rFonts w:ascii="Arial" w:hAnsi="Arial" w:cs="Arial"/>
                <w:sz w:val="20"/>
              </w:rPr>
              <w:t>i)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5E28EE" w:rsidRPr="00506970" w:rsidRDefault="005E28EE" w:rsidP="008A317B">
            <w:pPr>
              <w:spacing w:before="120"/>
              <w:rPr>
                <w:rFonts w:ascii="Arial" w:hAnsi="Arial" w:cs="Arial"/>
                <w:sz w:val="20"/>
              </w:rPr>
            </w:pPr>
            <w:r w:rsidRPr="00506970">
              <w:rPr>
                <w:rFonts w:ascii="Arial" w:hAnsi="Arial" w:cs="Arial"/>
                <w:sz w:val="20"/>
              </w:rPr>
              <w:t>k) Giấy khen trong thời kỳ tham gia thanh niên xung phong của cơ quan có thẩm quyền cấp trước khi thanh niên xung phong trở về địa phương theo quy định tại Thông tư số 24/2009/TT-BLĐTBXH và Thông tư liên</w:t>
            </w:r>
            <w:r w:rsidRPr="00506970">
              <w:rPr>
                <w:rFonts w:ascii="Arial" w:hAnsi="Arial" w:cs="Arial"/>
                <w:sz w:val="20"/>
                <w:lang w:val="en-US"/>
              </w:rPr>
              <w:t xml:space="preserve"> </w:t>
            </w:r>
            <w:r w:rsidRPr="00506970">
              <w:rPr>
                <w:rFonts w:ascii="Arial" w:hAnsi="Arial" w:cs="Arial"/>
                <w:sz w:val="20"/>
              </w:rPr>
              <w:t>tịch số 08/2012/TTLT-BLĐBTXH-BNV-BTC;</w:t>
            </w:r>
          </w:p>
          <w:p w:rsidR="005E28EE" w:rsidRPr="00506970" w:rsidRDefault="005E28EE" w:rsidP="008A317B">
            <w:pPr>
              <w:spacing w:before="120"/>
              <w:rPr>
                <w:rFonts w:ascii="Arial" w:hAnsi="Arial" w:cs="Arial"/>
                <w:sz w:val="20"/>
              </w:rPr>
            </w:pPr>
            <w:r w:rsidRPr="00506970">
              <w:rPr>
                <w:rFonts w:ascii="Arial" w:hAnsi="Arial" w:cs="Arial"/>
                <w:sz w:val="20"/>
              </w:rPr>
              <w:t>l) Giấy chứng nhận tham gia dân công hỏa tuyến theo quy định tại Thông tư liên tịch s</w:t>
            </w:r>
            <w:r w:rsidRPr="00506970">
              <w:rPr>
                <w:rFonts w:ascii="Arial" w:hAnsi="Arial" w:cs="Arial"/>
                <w:sz w:val="20"/>
                <w:lang w:val="en-US"/>
              </w:rPr>
              <w:t xml:space="preserve">ố </w:t>
            </w:r>
            <w:r w:rsidRPr="00506970">
              <w:rPr>
                <w:rFonts w:ascii="Arial" w:hAnsi="Arial" w:cs="Arial"/>
                <w:sz w:val="20"/>
              </w:rPr>
              <w:t>138/2015/TTLT-BQP-BLĐBXH-BTC;</w:t>
            </w:r>
          </w:p>
          <w:p w:rsidR="005E28EE" w:rsidRPr="00506970" w:rsidRDefault="005E28EE" w:rsidP="008A317B">
            <w:pPr>
              <w:spacing w:before="120"/>
              <w:rPr>
                <w:rFonts w:ascii="Arial" w:hAnsi="Arial" w:cs="Arial"/>
                <w:sz w:val="20"/>
                <w:lang w:val="en-US"/>
              </w:rPr>
            </w:pPr>
            <w:r w:rsidRPr="00506970">
              <w:rPr>
                <w:rFonts w:ascii="Arial" w:hAnsi="Arial" w:cs="Arial"/>
                <w:i/>
                <w:sz w:val="20"/>
              </w:rPr>
              <w:t>m) Quyết định hưởng chế độ thanh niên xung phong (trong thời gian từ ngày 15/7/1950 đến ngày 30/4/1975) đã hoàn thành nhiệm vụ theo quy định tại Thông tư liên tịch s</w:t>
            </w:r>
            <w:r w:rsidRPr="00506970">
              <w:rPr>
                <w:rFonts w:ascii="Arial" w:hAnsi="Arial" w:cs="Arial"/>
                <w:i/>
                <w:sz w:val="20"/>
                <w:lang w:val="en-US"/>
              </w:rPr>
              <w:t xml:space="preserve">ố </w:t>
            </w:r>
            <w:r w:rsidRPr="00506970">
              <w:rPr>
                <w:rFonts w:ascii="Arial" w:hAnsi="Arial" w:cs="Arial"/>
                <w:i/>
                <w:sz w:val="20"/>
              </w:rPr>
              <w:t>08/2012/TTLT-BLĐTBXH-BNV-BTC ngày 16/4/2012 của Bộ Lao động - Thương binh &amp; Xã hội - Bộ Nội vụ - Bộ Tài chính.</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sz w:val="20"/>
              </w:rPr>
            </w:pPr>
            <w:r w:rsidRPr="00506970">
              <w:rPr>
                <w:rFonts w:ascii="Arial" w:hAnsi="Arial" w:cs="Arial"/>
                <w:sz w:val="20"/>
              </w:rPr>
              <w:t>2.2.</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Cựu chiến binh giai đoạn từ 30/4/1975 đến trước thời kỳ xây dựng và bảo vệ tổ quốc</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 xml:space="preserve">a) Quyết định phục viên hoặc xuất ngũ hoặc chuyển ngành ghi rõ thời gian, địa điểm nơi đóng quân theo quy định tại Quyết định 62/2011/QĐ-TTg hoặc Quyết </w:t>
            </w:r>
            <w:r w:rsidRPr="00506970">
              <w:rPr>
                <w:rFonts w:ascii="Arial" w:hAnsi="Arial" w:cs="Arial"/>
                <w:sz w:val="20"/>
              </w:rPr>
              <w:lastRenderedPageBreak/>
              <w:t>định hưởng trợ cấp theo quy định tại Quyết định 62/2011/QĐ-TTg.</w:t>
            </w:r>
          </w:p>
          <w:p w:rsidR="005E28EE" w:rsidRPr="00506970" w:rsidRDefault="005E28EE" w:rsidP="008A317B">
            <w:pPr>
              <w:spacing w:before="120"/>
              <w:rPr>
                <w:rFonts w:ascii="Arial" w:hAnsi="Arial" w:cs="Arial"/>
                <w:sz w:val="20"/>
              </w:rPr>
            </w:pPr>
            <w:r w:rsidRPr="00506970">
              <w:rPr>
                <w:rFonts w:ascii="Arial" w:hAnsi="Arial" w:cs="Arial"/>
                <w:sz w:val="20"/>
              </w:rPr>
              <w:t>b) Giấy chứng nhận tham gia thanh niên xung phong của cơ quan có thẩm quyền cấp trước khi thanh niên xung phong trở về địa phương theo quy định tại Thông tư số 24/2009/TT-BLĐTBXH ngày 10/7/2009 của Bộ Lao động Thương binh và Xã hội và Thông tư liên tịch số 08/2012/TTLT-BLĐBTXH-BNV-BTC ngày 16/4/2012 của Bộ Lao động Thương binh và Xã hội- Bộ Nội vụ - Bộ Tài chính;</w:t>
            </w:r>
          </w:p>
          <w:p w:rsidR="005E28EE" w:rsidRPr="00506970" w:rsidRDefault="005E28EE" w:rsidP="008A317B">
            <w:pPr>
              <w:spacing w:before="120"/>
              <w:rPr>
                <w:rFonts w:ascii="Arial" w:hAnsi="Arial" w:cs="Arial"/>
                <w:sz w:val="20"/>
              </w:rPr>
            </w:pPr>
            <w:r w:rsidRPr="00506970">
              <w:rPr>
                <w:rFonts w:ascii="Arial" w:hAnsi="Arial" w:cs="Arial"/>
                <w:sz w:val="20"/>
              </w:rPr>
              <w:t>c) Giấy chứng nhận hoàn thành nhiệm vụ ở thanh niên xung phong của cơ quan có thẩm quyền cấp trước khi thanh niên xung phong trở về địa phương theo quy định tại Thông tư số 24/2009/TT-BLĐTBXH và Thông tư liên tịch số 08/2012/TTLT-BLĐBTXH-BNV-BTC;</w:t>
            </w:r>
          </w:p>
          <w:p w:rsidR="005E28EE" w:rsidRPr="00506970" w:rsidRDefault="005E28EE" w:rsidP="008A317B">
            <w:pPr>
              <w:spacing w:before="120"/>
              <w:rPr>
                <w:rFonts w:ascii="Arial" w:hAnsi="Arial" w:cs="Arial"/>
                <w:sz w:val="20"/>
              </w:rPr>
            </w:pPr>
            <w:r w:rsidRPr="00506970">
              <w:rPr>
                <w:rFonts w:ascii="Arial" w:hAnsi="Arial" w:cs="Arial"/>
                <w:sz w:val="20"/>
              </w:rPr>
              <w:t>d) Giấy khen trong thời kỳ tham gia thanh niên xung phong của cơ quan có thẩm quyền cấp trước khi thanh niên xung phong trở về địa phương theo quy định tại Thông tư số 24/2009/TT-BLĐTBXH và Thông tư liên tịch s</w:t>
            </w:r>
            <w:r w:rsidRPr="00506970">
              <w:rPr>
                <w:rFonts w:ascii="Arial" w:hAnsi="Arial" w:cs="Arial"/>
                <w:sz w:val="20"/>
                <w:lang w:val="en-US"/>
              </w:rPr>
              <w:t>ố</w:t>
            </w:r>
            <w:r w:rsidRPr="00506970">
              <w:rPr>
                <w:rFonts w:ascii="Arial" w:hAnsi="Arial" w:cs="Arial"/>
                <w:sz w:val="20"/>
              </w:rPr>
              <w:t xml:space="preserve"> 08/2012/TTLT-BLĐBTXH-BNV-BTC;</w:t>
            </w:r>
          </w:p>
          <w:p w:rsidR="005E28EE" w:rsidRPr="00506970" w:rsidRDefault="005E28EE" w:rsidP="008A317B">
            <w:pPr>
              <w:spacing w:before="120"/>
              <w:rPr>
                <w:rFonts w:ascii="Arial" w:hAnsi="Arial" w:cs="Arial"/>
                <w:sz w:val="20"/>
              </w:rPr>
            </w:pPr>
            <w:r w:rsidRPr="00506970">
              <w:rPr>
                <w:rFonts w:ascii="Arial" w:hAnsi="Arial" w:cs="Arial"/>
                <w:sz w:val="20"/>
              </w:rPr>
              <w:t>đ) Quyết định được hưởng trợ cấp theo Quyết định 62/2011/QĐ-TTg.</w:t>
            </w:r>
          </w:p>
          <w:p w:rsidR="005E28EE" w:rsidRPr="00506970" w:rsidRDefault="005E28EE" w:rsidP="008A317B">
            <w:pPr>
              <w:spacing w:before="120"/>
              <w:rPr>
                <w:rFonts w:ascii="Arial" w:hAnsi="Arial" w:cs="Arial"/>
                <w:sz w:val="20"/>
              </w:rPr>
            </w:pPr>
            <w:r w:rsidRPr="00506970">
              <w:rPr>
                <w:rFonts w:ascii="Arial" w:hAnsi="Arial" w:cs="Arial"/>
                <w:sz w:val="20"/>
              </w:rPr>
              <w:t>e) Giấy chứng nhận tham gia dân công hỏa tuyến theo quy định tại Thông tư liên tịch số 138/2015/TTLT-BQP-BLĐBXH-BTC</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sz w:val="20"/>
              </w:rPr>
            </w:pPr>
            <w:r w:rsidRPr="00506970">
              <w:rPr>
                <w:rFonts w:ascii="Arial" w:hAnsi="Arial" w:cs="Arial"/>
                <w:sz w:val="20"/>
              </w:rPr>
              <w:lastRenderedPageBreak/>
              <w:t>2.3</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Cựu chiến binh không được ngân sách nhà nước hỗ trợ đóng BHYT mà tham gia BHYT theo đối tượng khác có mức hưởng BHYT thấp h</w:t>
            </w:r>
            <w:r w:rsidRPr="00506970">
              <w:rPr>
                <w:rFonts w:ascii="Arial" w:hAnsi="Arial" w:cs="Arial"/>
                <w:sz w:val="20"/>
                <w:lang w:val="en-US"/>
              </w:rPr>
              <w:t>ơ</w:t>
            </w:r>
            <w:r w:rsidRPr="00506970">
              <w:rPr>
                <w:rFonts w:ascii="Arial" w:hAnsi="Arial" w:cs="Arial"/>
                <w:sz w:val="20"/>
              </w:rPr>
              <w:t>n mức hưởng BHYT của đối tượng cựu chiến binh thì đối tượng đó được đổi quyền lợi theo nhóm đối tượng cựu chiến binh.</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a) Tờ khai tham gia, điều chỉnh thông tin BHXH, BHYT (Mẫu TK1-TS);</w:t>
            </w:r>
          </w:p>
          <w:p w:rsidR="005E28EE" w:rsidRPr="00506970" w:rsidRDefault="005E28EE" w:rsidP="008A317B">
            <w:pPr>
              <w:spacing w:before="120"/>
              <w:rPr>
                <w:rFonts w:ascii="Arial" w:hAnsi="Arial" w:cs="Arial"/>
                <w:sz w:val="20"/>
              </w:rPr>
            </w:pPr>
            <w:r w:rsidRPr="00506970">
              <w:rPr>
                <w:rFonts w:ascii="Arial" w:hAnsi="Arial" w:cs="Arial"/>
                <w:sz w:val="20"/>
              </w:rPr>
              <w:t>b) Giấy tờ chứng minh (theo điểm 2.1, 2.2 nêu trên)</w:t>
            </w:r>
          </w:p>
          <w:p w:rsidR="005E28EE" w:rsidRPr="00506970" w:rsidRDefault="005E28EE" w:rsidP="008A317B">
            <w:pPr>
              <w:spacing w:before="120"/>
              <w:rPr>
                <w:rFonts w:ascii="Arial" w:hAnsi="Arial" w:cs="Arial"/>
                <w:sz w:val="20"/>
              </w:rPr>
            </w:pPr>
            <w:r w:rsidRPr="00506970">
              <w:rPr>
                <w:rFonts w:ascii="Arial" w:hAnsi="Arial" w:cs="Arial"/>
                <w:sz w:val="20"/>
              </w:rPr>
              <w:t>c) Riêng các đối tượng sỹ quan, quân nhân chuyên nghiệp nghỉ hưu, cơ quan BHXH căn cứ hồ sơ, dữ liệu đang quản lý để đổi thẻ theo quyền lợi của đối tượng cựu chiến binh.</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sz w:val="20"/>
              </w:rPr>
            </w:pPr>
            <w:r w:rsidRPr="00506970">
              <w:rPr>
                <w:rFonts w:ascii="Arial" w:hAnsi="Arial" w:cs="Arial"/>
                <w:sz w:val="20"/>
              </w:rPr>
              <w:t>2.4</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Sĩ quan, quân nhân chuyên nghiệp đã hoàn thành nhiệm vụ tại ngũ trong thời kỳ xây dựng và bảo vệ tổ quốc đã nghỉ hưu, phục viên, chuyển ngành.</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Quyết định phục viên hoặc xuất ngũ hoặc chuyển ngành.</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3</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Cha đẻ, mẹ đẻ, vợ hoặc chồng, con của liệt sỹ; người có công nuôi dưỡng liệt sỹ</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a) Giấy chứng nhận gia đình liệt sỹ hoặc Quyết định cấp Giấy chứng nhận gia đình liệt sỹ và trợ cấp tiền tuất của Sở Lao động Thương binh và Xã hội theo quy định tại Thông tư 05/2013/TT-BLĐTBXH ng</w:t>
            </w:r>
            <w:r w:rsidRPr="00506970">
              <w:rPr>
                <w:rFonts w:ascii="Arial" w:hAnsi="Arial" w:cs="Arial"/>
                <w:sz w:val="20"/>
                <w:lang w:val="en-US"/>
              </w:rPr>
              <w:t>à</w:t>
            </w:r>
            <w:r w:rsidRPr="00506970">
              <w:rPr>
                <w:rFonts w:ascii="Arial" w:hAnsi="Arial" w:cs="Arial"/>
                <w:sz w:val="20"/>
              </w:rPr>
              <w:t>y 15/5/2013 của Bộ Lao động - Thương binh và Xã hội.</w:t>
            </w:r>
          </w:p>
          <w:p w:rsidR="005E28EE" w:rsidRPr="00506970" w:rsidRDefault="005E28EE" w:rsidP="008A317B">
            <w:pPr>
              <w:spacing w:before="120"/>
              <w:rPr>
                <w:rFonts w:ascii="Arial" w:hAnsi="Arial" w:cs="Arial"/>
                <w:sz w:val="20"/>
              </w:rPr>
            </w:pPr>
            <w:r w:rsidRPr="00506970">
              <w:rPr>
                <w:rFonts w:ascii="Arial" w:hAnsi="Arial" w:cs="Arial"/>
                <w:sz w:val="20"/>
              </w:rPr>
              <w:t>b) Giấy xác nhận của Sở Lao động - Thương binh và Xã hội nơi tiếp nhận, quản lý hồ sơ và làm thủ tục mua BHYT cho thân nhân của liệt sỹ và người có công nuôi dưỡng liệt sỹ theo quy định tại Thông tư số 05/2013/TT-BLĐTBXH.</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4</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 xml:space="preserve">Người dân tộc thiểu số đang sinh sống tại vùng có điều kiện </w:t>
            </w:r>
            <w:r w:rsidRPr="00506970">
              <w:rPr>
                <w:rFonts w:ascii="Arial" w:hAnsi="Arial" w:cs="Arial"/>
                <w:sz w:val="20"/>
              </w:rPr>
              <w:lastRenderedPageBreak/>
              <w:t>kinh tế - xã hội khó khăn; người đang sinh sống tại vùng có điều kiện kinh tế - xã hội đặc biệt khó khăn; người đang sinh sống tại xã đảo, huyện đảo</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lastRenderedPageBreak/>
              <w:t>a) Sổ hộ khẩu;</w:t>
            </w:r>
          </w:p>
          <w:p w:rsidR="005E28EE" w:rsidRPr="00506970" w:rsidRDefault="005E28EE" w:rsidP="008A317B">
            <w:pPr>
              <w:spacing w:before="120"/>
              <w:rPr>
                <w:rFonts w:ascii="Arial" w:hAnsi="Arial" w:cs="Arial"/>
                <w:sz w:val="20"/>
              </w:rPr>
            </w:pPr>
            <w:r w:rsidRPr="00506970">
              <w:rPr>
                <w:rFonts w:ascii="Arial" w:hAnsi="Arial" w:cs="Arial"/>
                <w:sz w:val="20"/>
              </w:rPr>
              <w:lastRenderedPageBreak/>
              <w:t>b) Sổ tạm trú;</w:t>
            </w:r>
          </w:p>
          <w:p w:rsidR="005E28EE" w:rsidRPr="00506970" w:rsidRDefault="005E28EE" w:rsidP="008A317B">
            <w:pPr>
              <w:spacing w:before="120"/>
              <w:rPr>
                <w:rFonts w:ascii="Arial" w:hAnsi="Arial" w:cs="Arial"/>
                <w:sz w:val="20"/>
              </w:rPr>
            </w:pPr>
            <w:r w:rsidRPr="00506970">
              <w:rPr>
                <w:rFonts w:ascii="Arial" w:hAnsi="Arial" w:cs="Arial"/>
                <w:sz w:val="20"/>
              </w:rPr>
              <w:t>c) Giấy xác nhận của UBND cấp xã nơi có đối tượng cư trú.</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lastRenderedPageBreak/>
              <w:t>5</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Thân nhân người có công với cách mạng (trừ trường h</w:t>
            </w:r>
            <w:r w:rsidRPr="00506970">
              <w:rPr>
                <w:rFonts w:ascii="Arial" w:hAnsi="Arial" w:cs="Arial"/>
                <w:sz w:val="20"/>
                <w:lang w:val="en-US"/>
              </w:rPr>
              <w:t>ợ</w:t>
            </w:r>
            <w:r w:rsidRPr="00506970">
              <w:rPr>
                <w:rFonts w:ascii="Arial" w:hAnsi="Arial" w:cs="Arial"/>
                <w:sz w:val="20"/>
              </w:rPr>
              <w:t>p là cha đẻ, mẹ đẻ, vợ hoặc chồng, con của liệt sỹ; người có công nuôi dưỡng liệt sỹ), bao gồm:</w:t>
            </w:r>
          </w:p>
          <w:p w:rsidR="005E28EE" w:rsidRPr="00506970" w:rsidRDefault="005E28EE" w:rsidP="008A317B">
            <w:pPr>
              <w:spacing w:before="120"/>
              <w:rPr>
                <w:rFonts w:ascii="Arial" w:hAnsi="Arial" w:cs="Arial"/>
                <w:sz w:val="20"/>
              </w:rPr>
            </w:pPr>
            <w:r w:rsidRPr="00506970">
              <w:rPr>
                <w:rFonts w:ascii="Arial" w:hAnsi="Arial" w:cs="Arial"/>
                <w:sz w:val="20"/>
              </w:rPr>
              <w:t>- Cha đẻ, mẹ đẻ, vợ hoặc chồng, con từ trên</w:t>
            </w:r>
            <w:r w:rsidRPr="00506970">
              <w:rPr>
                <w:rFonts w:ascii="Arial" w:hAnsi="Arial" w:cs="Arial"/>
                <w:sz w:val="20"/>
                <w:lang w:val="en-US"/>
              </w:rPr>
              <w:t xml:space="preserve"> </w:t>
            </w:r>
            <w:r w:rsidRPr="00506970">
              <w:rPr>
                <w:rFonts w:ascii="Arial" w:hAnsi="Arial" w:cs="Arial"/>
                <w:sz w:val="20"/>
              </w:rPr>
              <w:t>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 trở lên;</w:t>
            </w:r>
          </w:p>
          <w:p w:rsidR="005E28EE" w:rsidRPr="00506970" w:rsidRDefault="005E28EE" w:rsidP="008A317B">
            <w:pPr>
              <w:spacing w:before="120"/>
              <w:rPr>
                <w:rFonts w:ascii="Arial" w:hAnsi="Arial" w:cs="Arial"/>
                <w:sz w:val="20"/>
              </w:rPr>
            </w:pPr>
            <w:r w:rsidRPr="00506970">
              <w:rPr>
                <w:rFonts w:ascii="Arial" w:hAnsi="Arial" w:cs="Arial"/>
                <w:sz w:val="20"/>
              </w:rPr>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Giấy xác nhận của Sở Lao động Thương binh và Xã hội nơi tiếp nhận, quản lý hồ sơ và làm thủ tục mua BHYT cho thân nhân của người có công với cách mạng theo quy định tại Thông tư số 05/2013/TT-BLĐTBXH của Bộ Lao động - Thương binh và Xã hội.</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6</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Người thuộc đối tượng bảo trợ xã hội theo Nghị định số 136/2013/NĐ-CP ngày 21/10/2013 của Chính phủ</w:t>
            </w:r>
          </w:p>
        </w:tc>
        <w:tc>
          <w:tcPr>
            <w:tcW w:w="2651"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Giấy xác nhận khuyết tật, ghi rõ mức độ khuyết tật thuộc các đối tượng người khuyết tật nặng và người khuyến tật đặc biệt nặng theo Thông tư li</w:t>
            </w:r>
            <w:r w:rsidRPr="00506970">
              <w:rPr>
                <w:rFonts w:ascii="Arial" w:hAnsi="Arial" w:cs="Arial"/>
                <w:sz w:val="20"/>
                <w:lang w:val="en-US"/>
              </w:rPr>
              <w:t>ê</w:t>
            </w:r>
            <w:r w:rsidRPr="00506970">
              <w:rPr>
                <w:rFonts w:ascii="Arial" w:hAnsi="Arial" w:cs="Arial"/>
                <w:sz w:val="20"/>
              </w:rPr>
              <w:t>n tịch số 37/2012/TTLT-BLĐTBXH-BYT-BTC-BGDĐT;</w:t>
            </w:r>
          </w:p>
          <w:p w:rsidR="005E28EE" w:rsidRPr="00506970" w:rsidRDefault="005E28EE" w:rsidP="008A317B">
            <w:pPr>
              <w:spacing w:before="120"/>
              <w:rPr>
                <w:rFonts w:ascii="Arial" w:hAnsi="Arial" w:cs="Arial"/>
                <w:sz w:val="20"/>
              </w:rPr>
            </w:pPr>
            <w:r w:rsidRPr="00506970">
              <w:rPr>
                <w:rFonts w:ascii="Arial" w:hAnsi="Arial" w:cs="Arial"/>
                <w:sz w:val="20"/>
              </w:rPr>
              <w:t>Quyết định trợ cấp xã hội hằng tháng của Chủ tịch Ủy ban nhân dân quận, huyện, thị xã (sau đây gọi là Ủy ban nhân dân cấp huyện) đối với người thuộc diện hưởng trợ cấp bảo trợ xã hội hằng tháng.</w:t>
            </w:r>
          </w:p>
        </w:tc>
        <w:tc>
          <w:tcPr>
            <w:tcW w:w="522" w:type="pct"/>
            <w:shd w:val="clear" w:color="auto" w:fill="FFFFFF"/>
          </w:tcPr>
          <w:p w:rsidR="005E28EE" w:rsidRPr="00506970" w:rsidRDefault="005E28EE" w:rsidP="008A317B">
            <w:pPr>
              <w:spacing w:before="120"/>
              <w:rPr>
                <w:rFonts w:ascii="Arial" w:hAnsi="Arial" w:cs="Arial"/>
                <w:sz w:val="20"/>
              </w:rPr>
            </w:pPr>
          </w:p>
        </w:tc>
      </w:tr>
      <w:tr w:rsidR="005E28EE" w:rsidRPr="00506970" w:rsidTr="008A317B">
        <w:tblPrEx>
          <w:tblCellMar>
            <w:top w:w="0" w:type="dxa"/>
            <w:left w:w="0" w:type="dxa"/>
            <w:bottom w:w="0" w:type="dxa"/>
            <w:right w:w="0" w:type="dxa"/>
          </w:tblCellMar>
        </w:tblPrEx>
        <w:tc>
          <w:tcPr>
            <w:tcW w:w="263"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7</w:t>
            </w:r>
          </w:p>
        </w:tc>
        <w:tc>
          <w:tcPr>
            <w:tcW w:w="1564" w:type="pct"/>
            <w:shd w:val="clear" w:color="auto" w:fill="FFFFFF"/>
          </w:tcPr>
          <w:p w:rsidR="005E28EE" w:rsidRPr="00506970" w:rsidRDefault="005E28EE" w:rsidP="008A317B">
            <w:pPr>
              <w:spacing w:before="120"/>
              <w:rPr>
                <w:rFonts w:ascii="Arial" w:hAnsi="Arial" w:cs="Arial"/>
                <w:sz w:val="20"/>
              </w:rPr>
            </w:pPr>
            <w:r w:rsidRPr="00506970">
              <w:rPr>
                <w:rFonts w:ascii="Arial" w:hAnsi="Arial" w:cs="Arial"/>
                <w:sz w:val="20"/>
              </w:rPr>
              <w:t>Người thuộc hộ gia đình nghèo</w:t>
            </w:r>
          </w:p>
        </w:tc>
        <w:tc>
          <w:tcPr>
            <w:tcW w:w="2651" w:type="pct"/>
            <w:shd w:val="clear" w:color="auto" w:fill="FFFFFF"/>
          </w:tcPr>
          <w:p w:rsidR="005E28EE" w:rsidRPr="00506970" w:rsidRDefault="005E28EE" w:rsidP="008A317B">
            <w:pPr>
              <w:spacing w:before="120"/>
              <w:rPr>
                <w:rFonts w:ascii="Arial" w:hAnsi="Arial" w:cs="Arial"/>
                <w:sz w:val="20"/>
                <w:lang w:val="en-US"/>
              </w:rPr>
            </w:pPr>
            <w:r w:rsidRPr="00506970">
              <w:rPr>
                <w:rFonts w:ascii="Arial" w:hAnsi="Arial" w:cs="Arial"/>
                <w:sz w:val="20"/>
              </w:rPr>
              <w:t>Giấy chứng nhận học sinh, sinh viên thuộc hộ nghèo theo Thông tư liên tịch số 18/2009/TTLT-BGDĐT-BTC-BLĐTBXH</w:t>
            </w:r>
            <w:r w:rsidRPr="00506970">
              <w:rPr>
                <w:rFonts w:ascii="Arial" w:hAnsi="Arial" w:cs="Arial"/>
                <w:sz w:val="20"/>
                <w:lang w:val="en-US"/>
              </w:rPr>
              <w:t>;</w:t>
            </w:r>
          </w:p>
          <w:p w:rsidR="005E28EE" w:rsidRPr="00506970" w:rsidRDefault="005E28EE" w:rsidP="008A317B">
            <w:pPr>
              <w:spacing w:before="120"/>
              <w:rPr>
                <w:rFonts w:ascii="Arial" w:hAnsi="Arial" w:cs="Arial"/>
                <w:sz w:val="20"/>
              </w:rPr>
            </w:pPr>
            <w:r w:rsidRPr="00506970">
              <w:rPr>
                <w:rFonts w:ascii="Arial" w:hAnsi="Arial" w:cs="Arial"/>
                <w:sz w:val="20"/>
              </w:rPr>
              <w:t xml:space="preserve">Danh sách hàng năm được Chủ tịch Ủy ban nhân dân xã, phường, thị trấn (sau đây gọi là Ủy ban nhân dân cấp xã) xác nhận đối với người thuộc hộ gia đình nghèo; người thuộc hộ gia đình cận nghèo; người thuộc hộ gia đình làm nông nghiệp, lâm nghiệp, ngư </w:t>
            </w:r>
            <w:r w:rsidRPr="00506970">
              <w:rPr>
                <w:rFonts w:ascii="Arial" w:hAnsi="Arial" w:cs="Arial"/>
                <w:sz w:val="20"/>
              </w:rPr>
              <w:lastRenderedPageBreak/>
              <w:t>nghiệp và diêm nghiệp có mức</w:t>
            </w:r>
            <w:r w:rsidRPr="00506970">
              <w:rPr>
                <w:rFonts w:ascii="Arial" w:hAnsi="Arial" w:cs="Arial"/>
                <w:sz w:val="20"/>
                <w:lang w:val="en-US"/>
              </w:rPr>
              <w:t xml:space="preserve"> s</w:t>
            </w:r>
            <w:r w:rsidRPr="00506970">
              <w:rPr>
                <w:rFonts w:ascii="Arial" w:hAnsi="Arial" w:cs="Arial"/>
                <w:sz w:val="20"/>
              </w:rPr>
              <w:t>ống trung bình; người đang sinh sống tại vùng có điều kiện kinh tế - xã hội đặc biệt khó khăn.</w:t>
            </w:r>
          </w:p>
        </w:tc>
        <w:tc>
          <w:tcPr>
            <w:tcW w:w="522" w:type="pct"/>
            <w:shd w:val="clear" w:color="auto" w:fill="FFFFFF"/>
          </w:tcPr>
          <w:p w:rsidR="005E28EE" w:rsidRPr="00506970" w:rsidRDefault="005E28EE" w:rsidP="008A317B">
            <w:pPr>
              <w:spacing w:before="120"/>
              <w:rPr>
                <w:rFonts w:ascii="Arial" w:hAnsi="Arial" w:cs="Arial"/>
                <w:sz w:val="20"/>
              </w:rPr>
            </w:pPr>
          </w:p>
        </w:tc>
      </w:tr>
    </w:tbl>
    <w:p w:rsidR="005E28EE" w:rsidRPr="00506970" w:rsidRDefault="005E28EE" w:rsidP="005E28EE">
      <w:pPr>
        <w:spacing w:before="120"/>
        <w:rPr>
          <w:rFonts w:ascii="Arial" w:hAnsi="Arial" w:cs="Arial"/>
          <w:b/>
          <w:i/>
          <w:sz w:val="20"/>
        </w:rPr>
      </w:pPr>
      <w:r w:rsidRPr="00506970">
        <w:rPr>
          <w:rFonts w:ascii="Arial" w:hAnsi="Arial" w:cs="Arial"/>
          <w:b/>
          <w:i/>
          <w:sz w:val="20"/>
        </w:rPr>
        <w:lastRenderedPageBreak/>
        <w:t>II</w:t>
      </w:r>
      <w:r w:rsidRPr="00506970">
        <w:rPr>
          <w:rFonts w:ascii="Arial" w:hAnsi="Arial" w:cs="Arial"/>
          <w:b/>
          <w:i/>
          <w:sz w:val="20"/>
          <w:lang w:val="en-US"/>
        </w:rPr>
        <w:t>.</w:t>
      </w:r>
      <w:r w:rsidRPr="00506970">
        <w:rPr>
          <w:rFonts w:ascii="Arial" w:hAnsi="Arial" w:cs="Arial"/>
          <w:b/>
          <w:i/>
          <w:sz w:val="20"/>
        </w:rPr>
        <w:t xml:space="preserve"> Điều chỉnh họ, tên, chữ đệm; ngày, tháng, năm sinh; giới tính; bổ sung mã nơi đ</w:t>
      </w:r>
      <w:r w:rsidRPr="00506970">
        <w:rPr>
          <w:rFonts w:ascii="Arial" w:hAnsi="Arial" w:cs="Arial"/>
          <w:b/>
          <w:i/>
          <w:sz w:val="20"/>
          <w:lang w:val="en-US"/>
        </w:rPr>
        <w:t>ố</w:t>
      </w:r>
      <w:r w:rsidRPr="00506970">
        <w:rPr>
          <w:rFonts w:ascii="Arial" w:hAnsi="Arial" w:cs="Arial"/>
          <w:b/>
          <w:i/>
          <w:sz w:val="20"/>
        </w:rPr>
        <w:t>i tượng sinh sống trên thẻ BHYT đ</w:t>
      </w:r>
      <w:r w:rsidRPr="00506970">
        <w:rPr>
          <w:rFonts w:ascii="Arial" w:hAnsi="Arial" w:cs="Arial"/>
          <w:b/>
          <w:i/>
          <w:sz w:val="20"/>
          <w:lang w:val="en-US"/>
        </w:rPr>
        <w:t>ố</w:t>
      </w:r>
      <w:r w:rsidRPr="00506970">
        <w:rPr>
          <w:rFonts w:ascii="Arial" w:hAnsi="Arial" w:cs="Arial"/>
          <w:b/>
          <w:i/>
          <w:sz w:val="20"/>
        </w:rPr>
        <w:t>i với người chỉ tham gia BHYT: hồ sơ gồm một trong các loại giấy tờ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81"/>
        <w:gridCol w:w="3812"/>
        <w:gridCol w:w="4166"/>
        <w:gridCol w:w="907"/>
      </w:tblGrid>
      <w:tr w:rsidR="005E28EE" w:rsidRPr="00506970" w:rsidTr="008A317B">
        <w:tblPrEx>
          <w:tblCellMar>
            <w:top w:w="0" w:type="dxa"/>
            <w:left w:w="0" w:type="dxa"/>
            <w:bottom w:w="0" w:type="dxa"/>
            <w:right w:w="0" w:type="dxa"/>
          </w:tblCellMar>
        </w:tblPrEx>
        <w:tc>
          <w:tcPr>
            <w:tcW w:w="257"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STT</w:t>
            </w:r>
          </w:p>
        </w:tc>
        <w:tc>
          <w:tcPr>
            <w:tcW w:w="2035"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Đối tượng</w:t>
            </w:r>
          </w:p>
        </w:tc>
        <w:tc>
          <w:tcPr>
            <w:tcW w:w="2224"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Tên loại văn bản, hồ sơ</w:t>
            </w:r>
          </w:p>
        </w:tc>
        <w:tc>
          <w:tcPr>
            <w:tcW w:w="484" w:type="pct"/>
            <w:shd w:val="clear" w:color="auto" w:fill="FFFFFF"/>
          </w:tcPr>
          <w:p w:rsidR="005E28EE" w:rsidRPr="00506970" w:rsidRDefault="005E28EE" w:rsidP="008A317B">
            <w:pPr>
              <w:spacing w:before="120"/>
              <w:jc w:val="center"/>
              <w:rPr>
                <w:rFonts w:ascii="Arial" w:hAnsi="Arial" w:cs="Arial"/>
                <w:b/>
                <w:sz w:val="20"/>
              </w:rPr>
            </w:pPr>
            <w:r w:rsidRPr="00506970">
              <w:rPr>
                <w:rFonts w:ascii="Arial" w:hAnsi="Arial" w:cs="Arial"/>
                <w:b/>
                <w:sz w:val="20"/>
              </w:rPr>
              <w:t>Ghi chú</w:t>
            </w:r>
          </w:p>
        </w:tc>
      </w:tr>
      <w:tr w:rsidR="005E28EE" w:rsidRPr="00506970" w:rsidTr="008A317B">
        <w:tblPrEx>
          <w:tblCellMar>
            <w:top w:w="0" w:type="dxa"/>
            <w:left w:w="0" w:type="dxa"/>
            <w:bottom w:w="0" w:type="dxa"/>
            <w:right w:w="0" w:type="dxa"/>
          </w:tblCellMar>
        </w:tblPrEx>
        <w:tc>
          <w:tcPr>
            <w:tcW w:w="257" w:type="pct"/>
            <w:shd w:val="clear" w:color="auto" w:fill="FFFFFF"/>
          </w:tcPr>
          <w:p w:rsidR="005E28EE" w:rsidRPr="00506970" w:rsidRDefault="005E28EE" w:rsidP="008A317B">
            <w:pPr>
              <w:spacing w:before="120"/>
              <w:jc w:val="center"/>
              <w:rPr>
                <w:rFonts w:ascii="Arial" w:hAnsi="Arial" w:cs="Arial"/>
                <w:i/>
                <w:sz w:val="20"/>
              </w:rPr>
            </w:pPr>
            <w:r w:rsidRPr="00506970">
              <w:rPr>
                <w:rFonts w:ascii="Arial" w:hAnsi="Arial" w:cs="Arial"/>
                <w:i/>
                <w:sz w:val="20"/>
              </w:rPr>
              <w:t>1.</w:t>
            </w:r>
          </w:p>
        </w:tc>
        <w:tc>
          <w:tcPr>
            <w:tcW w:w="2035" w:type="pct"/>
            <w:shd w:val="clear" w:color="auto" w:fill="FFFFFF"/>
          </w:tcPr>
          <w:p w:rsidR="005E28EE" w:rsidRPr="00506970" w:rsidRDefault="005E28EE" w:rsidP="008A317B">
            <w:pPr>
              <w:spacing w:before="120"/>
              <w:rPr>
                <w:rFonts w:ascii="Arial" w:hAnsi="Arial" w:cs="Arial"/>
                <w:i/>
                <w:sz w:val="20"/>
              </w:rPr>
            </w:pPr>
            <w:r w:rsidRPr="00506970">
              <w:rPr>
                <w:rFonts w:ascii="Arial" w:hAnsi="Arial" w:cs="Arial"/>
                <w:i/>
                <w:sz w:val="20"/>
              </w:rPr>
              <w:t>Trường hợp do người tham gia kê khai sai so với hồ sơ gốc:</w:t>
            </w:r>
          </w:p>
        </w:tc>
        <w:tc>
          <w:tcPr>
            <w:tcW w:w="2224" w:type="pct"/>
            <w:shd w:val="clear" w:color="auto" w:fill="FFFFFF"/>
          </w:tcPr>
          <w:p w:rsidR="005E28EE" w:rsidRPr="00506970" w:rsidRDefault="005E28EE" w:rsidP="008A317B">
            <w:pPr>
              <w:spacing w:before="120"/>
              <w:rPr>
                <w:rFonts w:ascii="Arial" w:hAnsi="Arial" w:cs="Arial"/>
                <w:i/>
                <w:sz w:val="20"/>
              </w:rPr>
            </w:pPr>
            <w:r w:rsidRPr="00506970">
              <w:rPr>
                <w:rFonts w:ascii="Arial" w:hAnsi="Arial" w:cs="Arial"/>
                <w:i/>
                <w:sz w:val="20"/>
              </w:rPr>
              <w:t>Chứng minh thư hoặc thẻ căn cước công dân hoặc hộ chiếu.</w:t>
            </w:r>
          </w:p>
        </w:tc>
        <w:tc>
          <w:tcPr>
            <w:tcW w:w="484" w:type="pct"/>
            <w:shd w:val="clear" w:color="auto" w:fill="FFFFFF"/>
          </w:tcPr>
          <w:p w:rsidR="005E28EE" w:rsidRPr="00506970" w:rsidRDefault="005E28EE" w:rsidP="008A317B">
            <w:pPr>
              <w:spacing w:before="120"/>
              <w:rPr>
                <w:rFonts w:ascii="Arial" w:hAnsi="Arial" w:cs="Arial"/>
                <w:i/>
                <w:sz w:val="20"/>
              </w:rPr>
            </w:pPr>
          </w:p>
        </w:tc>
      </w:tr>
      <w:tr w:rsidR="005E28EE" w:rsidRPr="00506970" w:rsidTr="008A317B">
        <w:tblPrEx>
          <w:tblCellMar>
            <w:top w:w="0" w:type="dxa"/>
            <w:left w:w="0" w:type="dxa"/>
            <w:bottom w:w="0" w:type="dxa"/>
            <w:right w:w="0" w:type="dxa"/>
          </w:tblCellMar>
        </w:tblPrEx>
        <w:tc>
          <w:tcPr>
            <w:tcW w:w="257" w:type="pct"/>
            <w:shd w:val="clear" w:color="auto" w:fill="FFFFFF"/>
          </w:tcPr>
          <w:p w:rsidR="005E28EE" w:rsidRPr="00506970" w:rsidRDefault="005E28EE" w:rsidP="008A317B">
            <w:pPr>
              <w:spacing w:before="120"/>
              <w:jc w:val="center"/>
              <w:rPr>
                <w:rFonts w:ascii="Arial" w:hAnsi="Arial" w:cs="Arial"/>
                <w:i/>
                <w:sz w:val="20"/>
              </w:rPr>
            </w:pPr>
            <w:r w:rsidRPr="00506970">
              <w:rPr>
                <w:rFonts w:ascii="Arial" w:hAnsi="Arial" w:cs="Arial"/>
                <w:i/>
                <w:sz w:val="20"/>
              </w:rPr>
              <w:t>2.</w:t>
            </w:r>
          </w:p>
        </w:tc>
        <w:tc>
          <w:tcPr>
            <w:tcW w:w="2035" w:type="pct"/>
            <w:shd w:val="clear" w:color="auto" w:fill="FFFFFF"/>
          </w:tcPr>
          <w:p w:rsidR="005E28EE" w:rsidRPr="00506970" w:rsidRDefault="005E28EE" w:rsidP="008A317B">
            <w:pPr>
              <w:spacing w:before="120"/>
              <w:rPr>
                <w:rFonts w:ascii="Arial" w:hAnsi="Arial" w:cs="Arial"/>
                <w:i/>
                <w:sz w:val="20"/>
              </w:rPr>
            </w:pPr>
            <w:r w:rsidRPr="00506970">
              <w:rPr>
                <w:rFonts w:ascii="Arial" w:hAnsi="Arial" w:cs="Arial"/>
                <w:i/>
                <w:sz w:val="20"/>
              </w:rPr>
              <w:t>Trường hợp người tham gia do cơ quan BHXH quản lý đề nghị điều chỉnh để đi khám bệnh, chữa bệnh:</w:t>
            </w:r>
          </w:p>
        </w:tc>
        <w:tc>
          <w:tcPr>
            <w:tcW w:w="2224" w:type="pct"/>
            <w:shd w:val="clear" w:color="auto" w:fill="FFFFFF"/>
          </w:tcPr>
          <w:p w:rsidR="005E28EE" w:rsidRPr="00506970" w:rsidRDefault="005E28EE" w:rsidP="008A317B">
            <w:pPr>
              <w:spacing w:before="120"/>
              <w:rPr>
                <w:rFonts w:ascii="Arial" w:hAnsi="Arial" w:cs="Arial"/>
                <w:i/>
                <w:sz w:val="20"/>
              </w:rPr>
            </w:pPr>
            <w:r w:rsidRPr="00506970">
              <w:rPr>
                <w:rFonts w:ascii="Arial" w:hAnsi="Arial" w:cs="Arial"/>
                <w:i/>
                <w:sz w:val="20"/>
              </w:rPr>
              <w:t>Chứng minh thư hoặc thẻ căn cước công dân hoặc hộ chiếu.</w:t>
            </w:r>
          </w:p>
        </w:tc>
        <w:tc>
          <w:tcPr>
            <w:tcW w:w="484" w:type="pct"/>
            <w:shd w:val="clear" w:color="auto" w:fill="FFFFFF"/>
          </w:tcPr>
          <w:p w:rsidR="005E28EE" w:rsidRPr="00506970" w:rsidRDefault="005E28EE" w:rsidP="008A317B">
            <w:pPr>
              <w:spacing w:before="120"/>
              <w:rPr>
                <w:rFonts w:ascii="Arial" w:hAnsi="Arial" w:cs="Arial"/>
                <w:i/>
                <w:sz w:val="20"/>
              </w:rPr>
            </w:pPr>
          </w:p>
        </w:tc>
      </w:tr>
      <w:tr w:rsidR="005E28EE" w:rsidRPr="00506970" w:rsidTr="008A317B">
        <w:tblPrEx>
          <w:tblCellMar>
            <w:top w:w="0" w:type="dxa"/>
            <w:left w:w="0" w:type="dxa"/>
            <w:bottom w:w="0" w:type="dxa"/>
            <w:right w:w="0" w:type="dxa"/>
          </w:tblCellMar>
        </w:tblPrEx>
        <w:tc>
          <w:tcPr>
            <w:tcW w:w="257" w:type="pct"/>
            <w:shd w:val="clear" w:color="auto" w:fill="FFFFFF"/>
          </w:tcPr>
          <w:p w:rsidR="005E28EE" w:rsidRPr="00506970" w:rsidRDefault="005E28EE" w:rsidP="008A317B">
            <w:pPr>
              <w:spacing w:before="120"/>
              <w:jc w:val="center"/>
              <w:rPr>
                <w:rFonts w:ascii="Arial" w:hAnsi="Arial" w:cs="Arial"/>
                <w:i/>
                <w:sz w:val="20"/>
              </w:rPr>
            </w:pPr>
            <w:r w:rsidRPr="00506970">
              <w:rPr>
                <w:rFonts w:ascii="Arial" w:hAnsi="Arial" w:cs="Arial"/>
                <w:i/>
                <w:sz w:val="20"/>
              </w:rPr>
              <w:t>3.</w:t>
            </w:r>
          </w:p>
        </w:tc>
        <w:tc>
          <w:tcPr>
            <w:tcW w:w="2035" w:type="pct"/>
            <w:shd w:val="clear" w:color="auto" w:fill="FFFFFF"/>
          </w:tcPr>
          <w:p w:rsidR="005E28EE" w:rsidRPr="00506970" w:rsidRDefault="005E28EE" w:rsidP="008A317B">
            <w:pPr>
              <w:spacing w:before="120"/>
              <w:rPr>
                <w:rFonts w:ascii="Arial" w:hAnsi="Arial" w:cs="Arial"/>
                <w:i/>
                <w:sz w:val="20"/>
              </w:rPr>
            </w:pPr>
            <w:r w:rsidRPr="00506970">
              <w:rPr>
                <w:rFonts w:ascii="Arial" w:hAnsi="Arial" w:cs="Arial"/>
                <w:i/>
                <w:sz w:val="20"/>
              </w:rPr>
              <w:t>Trường hợp đơn vị kê khai sai so với hồ sơ của người tham gia:</w:t>
            </w:r>
          </w:p>
        </w:tc>
        <w:tc>
          <w:tcPr>
            <w:tcW w:w="2224" w:type="pct"/>
            <w:shd w:val="clear" w:color="auto" w:fill="FFFFFF"/>
          </w:tcPr>
          <w:p w:rsidR="005E28EE" w:rsidRPr="00506970" w:rsidRDefault="005E28EE" w:rsidP="008A317B">
            <w:pPr>
              <w:spacing w:before="120"/>
              <w:rPr>
                <w:rFonts w:ascii="Arial" w:hAnsi="Arial" w:cs="Arial"/>
                <w:i/>
                <w:sz w:val="20"/>
              </w:rPr>
            </w:pPr>
            <w:r w:rsidRPr="00506970">
              <w:rPr>
                <w:rFonts w:ascii="Arial" w:hAnsi="Arial" w:cs="Arial"/>
                <w:i/>
                <w:sz w:val="20"/>
              </w:rPr>
              <w:t>Cơ quan BHXH rà soát, thông báo và ph</w:t>
            </w:r>
            <w:r w:rsidRPr="00506970">
              <w:rPr>
                <w:rFonts w:ascii="Arial" w:hAnsi="Arial" w:cs="Arial"/>
                <w:i/>
                <w:sz w:val="20"/>
                <w:lang w:val="en-US"/>
              </w:rPr>
              <w:t>ố</w:t>
            </w:r>
            <w:r w:rsidRPr="00506970">
              <w:rPr>
                <w:rFonts w:ascii="Arial" w:hAnsi="Arial" w:cs="Arial"/>
                <w:i/>
                <w:sz w:val="20"/>
              </w:rPr>
              <w:t>i hợp với đơn vị điều chỉnh.</w:t>
            </w:r>
          </w:p>
        </w:tc>
        <w:tc>
          <w:tcPr>
            <w:tcW w:w="484" w:type="pct"/>
            <w:shd w:val="clear" w:color="auto" w:fill="FFFFFF"/>
          </w:tcPr>
          <w:p w:rsidR="005E28EE" w:rsidRPr="00506970" w:rsidRDefault="005E28EE" w:rsidP="008A317B">
            <w:pPr>
              <w:spacing w:before="120"/>
              <w:rPr>
                <w:rFonts w:ascii="Arial" w:hAnsi="Arial" w:cs="Arial"/>
                <w:i/>
                <w:sz w:val="20"/>
              </w:rPr>
            </w:pPr>
          </w:p>
        </w:tc>
      </w:tr>
    </w:tbl>
    <w:p w:rsidR="00252BC1" w:rsidRDefault="005E28EE">
      <w:r w:rsidRPr="00506970">
        <w:rPr>
          <w:rFonts w:ascii="Arial" w:hAnsi="Arial" w:cs="Arial"/>
          <w:b/>
          <w:sz w:val="20"/>
        </w:rPr>
        <w:t>Ghi chú:</w:t>
      </w:r>
      <w:r w:rsidRPr="00506970">
        <w:rPr>
          <w:rFonts w:ascii="Arial" w:hAnsi="Arial" w:cs="Arial"/>
          <w:sz w:val="20"/>
        </w:rPr>
        <w:t xml:space="preserve"> người tham gia không có giấy tờ nêu tại phụ lục, mà có các giấy tờ liên quan khác để chứng minh, làm căn cứ điều chỉnh (trừ các trường hợp: điều chỉnh nhân thân, bổ sung mã nơi đối tượng sinh sống) như: giấy tờ chứng minh là người có công với cách mạng; cựu chiến binh theo quy định tại Pháp lệnh Cựu chiến binh; người tham gia kháng chiến; chứng minh làm nghề hoặc công việc nặng nhọc, độc hại, nguy hiểm hoặc đặc biệt nặng nhọc, độc hại, nguy hiểm... thì đơn vị nộp các giấy tờ này cho cơ quan BHXH để xem xét, giải quyết (không ghi vào Bảng kê hồ sơ).</w:t>
      </w:r>
    </w:p>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5E28EE"/>
    <w:rsid w:val="00125879"/>
    <w:rsid w:val="00234632"/>
    <w:rsid w:val="00234BD9"/>
    <w:rsid w:val="00252BC1"/>
    <w:rsid w:val="005E28EE"/>
    <w:rsid w:val="00692662"/>
    <w:rsid w:val="007B3BF3"/>
    <w:rsid w:val="00CA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EE"/>
    <w:pPr>
      <w:widowControl w:val="0"/>
      <w:spacing w:after="0" w:line="240" w:lineRule="auto"/>
    </w:pPr>
    <w:rPr>
      <w:rFonts w:ascii="Microsoft Sans Serif" w:eastAsia="Microsoft Sans Serif" w:hAnsi="Microsoft Sans Serif" w:cs="Microsoft Sans Serif"/>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5E28EE"/>
    <w:pPr>
      <w:tabs>
        <w:tab w:val="left" w:pos="1152"/>
      </w:tabs>
      <w:spacing w:before="120" w:after="120" w:line="312" w:lineRule="auto"/>
    </w:pPr>
    <w:rPr>
      <w:rFonts w:ascii="Arial" w:eastAsia="Times New Roman" w:hAnsi="Arial"/>
      <w:color w:val="auto"/>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9139</Characters>
  <Application>Microsoft Office Word</Application>
  <DocSecurity>0</DocSecurity>
  <Lines>76</Lines>
  <Paragraphs>21</Paragraphs>
  <ScaleCrop>false</ScaleCrop>
  <Company>Grizli777</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2020-11-12T07:48:00Z</dcterms:created>
  <dcterms:modified xsi:type="dcterms:W3CDTF">2020-11-12T07:48:00Z</dcterms:modified>
</cp:coreProperties>
</file>